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37BBC021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335014">
        <w:rPr>
          <w:rFonts w:ascii="Calibri" w:hAnsi="Calibri"/>
        </w:rPr>
        <w:t>DTEC3</w:t>
      </w:r>
      <w:r w:rsidRPr="007A395D">
        <w:rPr>
          <w:rFonts w:ascii="Calibri" w:hAnsi="Calibri"/>
        </w:rPr>
        <w:t>-</w:t>
      </w:r>
      <w:r w:rsidR="00CF7ACA">
        <w:rPr>
          <w:rFonts w:ascii="Calibri" w:hAnsi="Calibri"/>
        </w:rPr>
        <w:t>5.2.2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7D26C8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04F09" w:rsidRPr="00E04F09">
        <w:rPr>
          <w:rFonts w:ascii="Calibri" w:hAnsi="Calibri" w:cs="Arial"/>
          <w:bCs/>
          <w:sz w:val="24"/>
          <w:szCs w:val="24"/>
        </w:rPr>
        <w:t>X</w:t>
      </w:r>
      <w:r w:rsidRPr="00E04F09">
        <w:rPr>
          <w:rFonts w:ascii="Calibri" w:hAnsi="Calibri" w:cs="Arial"/>
          <w:bCs/>
          <w:sz w:val="24"/>
          <w:szCs w:val="24"/>
        </w:rPr>
        <w:t xml:space="preserve"> </w:t>
      </w:r>
      <w:r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08A86CCF" w:rsidR="0080294B" w:rsidRPr="007A395D" w:rsidRDefault="00335014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6A3EAF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F7ACA">
        <w:rPr>
          <w:rFonts w:ascii="Calibri" w:hAnsi="Calibri"/>
        </w:rPr>
        <w:t>5.2</w:t>
      </w:r>
    </w:p>
    <w:p w14:paraId="1AB3E246" w14:textId="24AEBBD6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DA0CBF">
        <w:rPr>
          <w:rFonts w:ascii="Calibri" w:hAnsi="Calibri"/>
        </w:rPr>
        <w:t xml:space="preserve">WG </w:t>
      </w:r>
      <w:r w:rsidR="00335014">
        <w:rPr>
          <w:rFonts w:ascii="Calibri" w:hAnsi="Calibri"/>
        </w:rPr>
        <w:t>2</w:t>
      </w:r>
      <w:r w:rsidR="00DA0CBF">
        <w:rPr>
          <w:rFonts w:ascii="Calibri" w:hAnsi="Calibri"/>
        </w:rPr>
        <w:t xml:space="preserve"> Proposed work schedule </w:t>
      </w:r>
      <w:r w:rsidR="00335014">
        <w:rPr>
          <w:rFonts w:ascii="Calibri" w:hAnsi="Calibri"/>
        </w:rPr>
        <w:t>DTEC3</w:t>
      </w:r>
    </w:p>
    <w:p w14:paraId="01FC5420" w14:textId="76DE601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964C9">
        <w:rPr>
          <w:rFonts w:ascii="Calibri" w:hAnsi="Calibri"/>
        </w:rPr>
        <w:t>J Carson-Jackson</w:t>
      </w:r>
      <w:r w:rsidR="004343FA">
        <w:rPr>
          <w:rFonts w:ascii="Calibri" w:hAnsi="Calibri"/>
        </w:rPr>
        <w:t xml:space="preserve">, </w:t>
      </w:r>
      <w:r w:rsidR="009964C9">
        <w:rPr>
          <w:rFonts w:ascii="Calibri" w:hAnsi="Calibri"/>
        </w:rPr>
        <w:t>Chair</w:t>
      </w:r>
      <w:r w:rsidR="004343FA">
        <w:rPr>
          <w:rFonts w:ascii="Calibri" w:hAnsi="Calibri"/>
        </w:rPr>
        <w:t>, WG</w:t>
      </w:r>
      <w:r w:rsidR="00335014">
        <w:rPr>
          <w:rFonts w:ascii="Calibri" w:hAnsi="Calibri"/>
        </w:rPr>
        <w:t>2</w:t>
      </w:r>
    </w:p>
    <w:p w14:paraId="4834080C" w14:textId="6AEEFCF0" w:rsidR="00A446C9" w:rsidRPr="00605E43" w:rsidRDefault="00DA0CBF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Proposed working schedule for WG</w:t>
      </w:r>
      <w:r w:rsidR="00335014">
        <w:rPr>
          <w:rFonts w:ascii="Calibri" w:hAnsi="Calibri"/>
          <w:color w:val="0070C0"/>
        </w:rPr>
        <w:t>2</w:t>
      </w:r>
      <w:r>
        <w:rPr>
          <w:rFonts w:ascii="Calibri" w:hAnsi="Calibri"/>
          <w:color w:val="0070C0"/>
        </w:rPr>
        <w:t xml:space="preserve"> at </w:t>
      </w:r>
      <w:r w:rsidR="00335014">
        <w:rPr>
          <w:rFonts w:ascii="Calibri" w:hAnsi="Calibri"/>
          <w:color w:val="0070C0"/>
        </w:rPr>
        <w:t>DTEC3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99C543D" w:rsidR="00E55927" w:rsidRPr="007A395D" w:rsidRDefault="004343F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DA0CBF">
        <w:rPr>
          <w:rFonts w:ascii="Calibri" w:hAnsi="Calibri"/>
        </w:rPr>
        <w:t>provide an overview of the proposed schedule of work for WG</w:t>
      </w:r>
      <w:r w:rsidR="00335014">
        <w:rPr>
          <w:rFonts w:ascii="Calibri" w:hAnsi="Calibri"/>
        </w:rPr>
        <w:t>2</w:t>
      </w:r>
      <w:r w:rsidR="00DA0CBF">
        <w:rPr>
          <w:rFonts w:ascii="Calibri" w:hAnsi="Calibri"/>
        </w:rPr>
        <w:t xml:space="preserve"> during </w:t>
      </w:r>
      <w:r w:rsidR="00335014">
        <w:rPr>
          <w:rFonts w:ascii="Calibri" w:hAnsi="Calibri"/>
        </w:rPr>
        <w:t>DTEC3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1BFC4A1" w:rsidR="00E55927" w:rsidRPr="007A395D" w:rsidRDefault="00DA0CB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None</w:t>
      </w:r>
    </w:p>
    <w:p w14:paraId="53733F03" w14:textId="77777777" w:rsidR="00A446C9" w:rsidRDefault="00A446C9" w:rsidP="00605E43">
      <w:pPr>
        <w:pStyle w:val="Heading1"/>
      </w:pPr>
      <w:r w:rsidRPr="007A395D">
        <w:t>Background</w:t>
      </w:r>
    </w:p>
    <w:p w14:paraId="4F6B879F" w14:textId="4BABF4FC" w:rsidR="00DC67F7" w:rsidRPr="00575494" w:rsidRDefault="00DA0CBF" w:rsidP="007D121A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Noting the IALA Committee Calendar is experiencing technical difficulties, this document is provided to assist</w:t>
      </w:r>
      <w:r w:rsidR="00C83205">
        <w:rPr>
          <w:rFonts w:asciiTheme="minorHAnsi" w:hAnsiTheme="minorHAnsi" w:cstheme="minorHAnsi"/>
          <w:lang w:eastAsia="de-DE"/>
        </w:rPr>
        <w:t xml:space="preserve"> delegates at </w:t>
      </w:r>
      <w:r w:rsidR="00252089">
        <w:rPr>
          <w:rFonts w:asciiTheme="minorHAnsi" w:hAnsiTheme="minorHAnsi" w:cstheme="minorHAnsi"/>
          <w:lang w:eastAsia="de-DE"/>
        </w:rPr>
        <w:t>DTEC3</w:t>
      </w:r>
      <w:r w:rsidR="00C83205">
        <w:rPr>
          <w:rFonts w:asciiTheme="minorHAnsi" w:hAnsiTheme="minorHAnsi" w:cstheme="minorHAnsi"/>
          <w:lang w:eastAsia="de-DE"/>
        </w:rPr>
        <w:t xml:space="preserve"> when planning participation either onsite or through hybrid means for the work of WG</w:t>
      </w:r>
      <w:r w:rsidR="00335014">
        <w:rPr>
          <w:rFonts w:asciiTheme="minorHAnsi" w:hAnsiTheme="minorHAnsi" w:cstheme="minorHAnsi"/>
          <w:lang w:eastAsia="de-DE"/>
        </w:rPr>
        <w:t>2</w:t>
      </w:r>
      <w:r w:rsidR="00C83205">
        <w:rPr>
          <w:rFonts w:asciiTheme="minorHAnsi" w:hAnsiTheme="minorHAnsi" w:cstheme="minorHAnsi"/>
          <w:lang w:eastAsia="de-DE"/>
        </w:rPr>
        <w:t xml:space="preserve"> – </w:t>
      </w:r>
      <w:r w:rsidR="004E4239">
        <w:rPr>
          <w:rFonts w:asciiTheme="minorHAnsi" w:hAnsiTheme="minorHAnsi" w:cstheme="minorHAnsi"/>
          <w:lang w:eastAsia="de-DE"/>
        </w:rPr>
        <w:t>Emerging Technologies</w:t>
      </w:r>
      <w:r w:rsidR="00C83205">
        <w:rPr>
          <w:rFonts w:asciiTheme="minorHAnsi" w:hAnsiTheme="minorHAnsi" w:cstheme="minorHAnsi"/>
          <w:lang w:eastAsia="de-DE"/>
        </w:rPr>
        <w:t xml:space="preserve">.  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26E1E0EC" w14:textId="2EE01189" w:rsidR="0084666A" w:rsidRDefault="00DC67F7" w:rsidP="00786E5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topics will be addressed as per the schedule attached</w:t>
      </w:r>
      <w:r w:rsidR="0084666A">
        <w:rPr>
          <w:rFonts w:ascii="Calibri" w:hAnsi="Calibri"/>
        </w:rPr>
        <w:t xml:space="preserve">. If there are changes during the meeting, these will be identified in updates to the schedule, which will be located on </w:t>
      </w:r>
      <w:r w:rsidR="004E4239">
        <w:rPr>
          <w:rFonts w:ascii="Calibri" w:hAnsi="Calibri"/>
        </w:rPr>
        <w:t>DTEC3</w:t>
      </w:r>
      <w:r w:rsidR="0084666A">
        <w:rPr>
          <w:rFonts w:ascii="Calibri" w:hAnsi="Calibri"/>
        </w:rPr>
        <w:t>/WG</w:t>
      </w:r>
      <w:r w:rsidR="004E4239">
        <w:rPr>
          <w:rFonts w:ascii="Calibri" w:hAnsi="Calibri"/>
        </w:rPr>
        <w:t>2</w:t>
      </w:r>
      <w:r w:rsidR="0084666A">
        <w:rPr>
          <w:rFonts w:ascii="Calibri" w:hAnsi="Calibri"/>
        </w:rPr>
        <w:t xml:space="preserve">/General folder on the </w:t>
      </w:r>
      <w:proofErr w:type="spellStart"/>
      <w:r w:rsidR="0084666A">
        <w:rPr>
          <w:rFonts w:ascii="Calibri" w:hAnsi="Calibri"/>
        </w:rPr>
        <w:t>fileshare</w:t>
      </w:r>
      <w:proofErr w:type="spellEnd"/>
      <w:r w:rsidR="0084666A">
        <w:rPr>
          <w:rFonts w:ascii="Calibri" w:hAnsi="Calibri"/>
        </w:rPr>
        <w:t xml:space="preserve">. </w:t>
      </w:r>
    </w:p>
    <w:p w14:paraId="5DD96F53" w14:textId="6B740A47" w:rsidR="003B3E6F" w:rsidRDefault="0084666A" w:rsidP="00786E5B">
      <w:pPr>
        <w:pStyle w:val="BodyText"/>
        <w:rPr>
          <w:rFonts w:ascii="Calibri" w:hAnsi="Calibri"/>
        </w:rPr>
      </w:pPr>
      <w:r>
        <w:rPr>
          <w:rFonts w:ascii="Calibri" w:hAnsi="Calibri"/>
        </w:rPr>
        <w:t>All WG</w:t>
      </w:r>
      <w:r w:rsidR="004E4239">
        <w:rPr>
          <w:rFonts w:ascii="Calibri" w:hAnsi="Calibri"/>
        </w:rPr>
        <w:t>2</w:t>
      </w:r>
      <w:r>
        <w:rPr>
          <w:rFonts w:ascii="Calibri" w:hAnsi="Calibri"/>
        </w:rPr>
        <w:t xml:space="preserve"> meetings will be held via teams </w:t>
      </w:r>
      <w:r w:rsidR="003B3E6F">
        <w:rPr>
          <w:rFonts w:ascii="Calibri" w:hAnsi="Calibri"/>
        </w:rPr>
        <w:t xml:space="preserve">in the </w:t>
      </w:r>
      <w:r w:rsidR="004E4239">
        <w:rPr>
          <w:rFonts w:ascii="Calibri" w:hAnsi="Calibri"/>
        </w:rPr>
        <w:t>DTEC</w:t>
      </w:r>
      <w:r w:rsidR="003B3E6F">
        <w:rPr>
          <w:rFonts w:ascii="Calibri" w:hAnsi="Calibri"/>
        </w:rPr>
        <w:t xml:space="preserve"> WG</w:t>
      </w:r>
      <w:r w:rsidR="004E4239">
        <w:rPr>
          <w:rFonts w:ascii="Calibri" w:hAnsi="Calibri"/>
        </w:rPr>
        <w:t>2</w:t>
      </w:r>
      <w:r w:rsidR="003B3E6F">
        <w:rPr>
          <w:rFonts w:ascii="Calibri" w:hAnsi="Calibri"/>
        </w:rPr>
        <w:t xml:space="preserve"> Plenary meeting room accessed through this link: </w:t>
      </w:r>
    </w:p>
    <w:p w14:paraId="46EA752A" w14:textId="77777777" w:rsidR="006C6681" w:rsidRPr="006C6681" w:rsidRDefault="006C6681" w:rsidP="006C6681">
      <w:pPr>
        <w:pStyle w:val="BodyText"/>
        <w:rPr>
          <w:rFonts w:ascii="Calibri" w:hAnsi="Calibri"/>
          <w:u w:val="single"/>
        </w:rPr>
      </w:pPr>
      <w:hyperlink r:id="rId11" w:history="1">
        <w:r w:rsidRPr="006C6681">
          <w:rPr>
            <w:rStyle w:val="Hyperlink"/>
            <w:rFonts w:ascii="Calibri" w:hAnsi="Calibri"/>
            <w:color w:val="4F81BD" w:themeColor="accent1"/>
            <w:u w:val="single"/>
            <w:lang w:val="en-US"/>
          </w:rPr>
          <w:t>Click here to join the meeting</w:t>
        </w:r>
      </w:hyperlink>
      <w:r w:rsidRPr="006C6681">
        <w:rPr>
          <w:rFonts w:ascii="Calibri" w:hAnsi="Calibri"/>
          <w:u w:val="single"/>
          <w:lang w:val="en-US"/>
        </w:rPr>
        <w:t xml:space="preserve"> </w:t>
      </w:r>
    </w:p>
    <w:p w14:paraId="19354C1C" w14:textId="77777777" w:rsidR="006C6681" w:rsidRPr="006C6681" w:rsidRDefault="006C6681" w:rsidP="006C6681">
      <w:pPr>
        <w:pStyle w:val="BodyText"/>
        <w:rPr>
          <w:rFonts w:ascii="Calibri" w:hAnsi="Calibri"/>
        </w:rPr>
      </w:pPr>
      <w:r w:rsidRPr="006C6681">
        <w:rPr>
          <w:rFonts w:ascii="Calibri" w:hAnsi="Calibri"/>
          <w:b/>
          <w:bCs/>
          <w:lang w:val="en-US"/>
        </w:rPr>
        <w:t>Or call in (audio only)</w:t>
      </w:r>
      <w:r w:rsidRPr="006C6681">
        <w:rPr>
          <w:rFonts w:ascii="Calibri" w:hAnsi="Calibri"/>
          <w:lang w:val="en-US"/>
        </w:rPr>
        <w:t xml:space="preserve"> </w:t>
      </w:r>
    </w:p>
    <w:p w14:paraId="2CB59E6C" w14:textId="77777777" w:rsidR="006C6681" w:rsidRPr="006C6681" w:rsidRDefault="006C6681" w:rsidP="006C6681">
      <w:pPr>
        <w:pStyle w:val="BodyText"/>
        <w:rPr>
          <w:rFonts w:ascii="Calibri" w:hAnsi="Calibri"/>
          <w:lang w:val="fr-FR"/>
        </w:rPr>
      </w:pPr>
      <w:hyperlink r:id="rId12" w:history="1">
        <w:r w:rsidRPr="006C6681">
          <w:rPr>
            <w:rStyle w:val="Hyperlink"/>
            <w:rFonts w:ascii="Calibri" w:hAnsi="Calibri"/>
            <w:lang w:val="fr-FR"/>
          </w:rPr>
          <w:t xml:space="preserve">+33 1 70 99 53 </w:t>
        </w:r>
        <w:proofErr w:type="gramStart"/>
        <w:r w:rsidRPr="006C6681">
          <w:rPr>
            <w:rStyle w:val="Hyperlink"/>
            <w:rFonts w:ascii="Calibri" w:hAnsi="Calibri"/>
            <w:lang w:val="fr-FR"/>
          </w:rPr>
          <w:t>70,,</w:t>
        </w:r>
        <w:proofErr w:type="gramEnd"/>
        <w:r w:rsidRPr="006C6681">
          <w:rPr>
            <w:rStyle w:val="Hyperlink"/>
            <w:rFonts w:ascii="Calibri" w:hAnsi="Calibri"/>
            <w:lang w:val="fr-FR"/>
          </w:rPr>
          <w:t>17692168#</w:t>
        </w:r>
      </w:hyperlink>
      <w:r w:rsidRPr="006C6681">
        <w:rPr>
          <w:rFonts w:ascii="Calibri" w:hAnsi="Calibri"/>
          <w:lang w:val="fr-FR"/>
        </w:rPr>
        <w:t xml:space="preserve">   France, Paris </w:t>
      </w:r>
    </w:p>
    <w:p w14:paraId="4E8B5D51" w14:textId="77777777" w:rsidR="006C6681" w:rsidRPr="006C6681" w:rsidRDefault="006C6681" w:rsidP="006C6681">
      <w:pPr>
        <w:pStyle w:val="BodyText"/>
        <w:rPr>
          <w:rFonts w:ascii="Calibri" w:hAnsi="Calibri"/>
          <w:lang w:val="fr-FR"/>
        </w:rPr>
      </w:pPr>
      <w:r w:rsidRPr="006C6681">
        <w:rPr>
          <w:rFonts w:ascii="Calibri" w:hAnsi="Calibri"/>
          <w:lang w:val="fr-FR"/>
        </w:rPr>
        <w:t xml:space="preserve">Phone </w:t>
      </w:r>
      <w:proofErr w:type="spellStart"/>
      <w:r w:rsidRPr="006C6681">
        <w:rPr>
          <w:rFonts w:ascii="Calibri" w:hAnsi="Calibri"/>
          <w:lang w:val="fr-FR"/>
        </w:rPr>
        <w:t>Conference</w:t>
      </w:r>
      <w:proofErr w:type="spellEnd"/>
      <w:r w:rsidRPr="006C6681">
        <w:rPr>
          <w:rFonts w:ascii="Calibri" w:hAnsi="Calibri"/>
          <w:lang w:val="fr-FR"/>
        </w:rPr>
        <w:t xml:space="preserve"> </w:t>
      </w:r>
      <w:proofErr w:type="gramStart"/>
      <w:r w:rsidRPr="006C6681">
        <w:rPr>
          <w:rFonts w:ascii="Calibri" w:hAnsi="Calibri"/>
          <w:lang w:val="fr-FR"/>
        </w:rPr>
        <w:t>ID:</w:t>
      </w:r>
      <w:proofErr w:type="gramEnd"/>
      <w:r w:rsidRPr="006C6681">
        <w:rPr>
          <w:rFonts w:ascii="Calibri" w:hAnsi="Calibri"/>
          <w:lang w:val="fr-FR"/>
        </w:rPr>
        <w:t xml:space="preserve"> 176 921 68#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4B47ED6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79C7C7E2" w:rsidR="00F25BF4" w:rsidRPr="007A395D" w:rsidRDefault="00264495" w:rsidP="002532B3">
      <w:pPr>
        <w:pStyle w:val="BodyText"/>
        <w:numPr>
          <w:ilvl w:val="0"/>
          <w:numId w:val="47"/>
        </w:numPr>
        <w:rPr>
          <w:rFonts w:ascii="Calibri" w:hAnsi="Calibri"/>
        </w:rPr>
      </w:pPr>
      <w:r>
        <w:rPr>
          <w:rFonts w:ascii="Calibri" w:hAnsi="Calibri"/>
        </w:rPr>
        <w:t xml:space="preserve">Note the </w:t>
      </w:r>
      <w:r w:rsidR="00C83205">
        <w:rPr>
          <w:rFonts w:ascii="Calibri" w:hAnsi="Calibri"/>
        </w:rPr>
        <w:t>proposed schedule of activities for WG</w:t>
      </w:r>
      <w:r w:rsidR="008100CE">
        <w:rPr>
          <w:rFonts w:ascii="Calibri" w:hAnsi="Calibri"/>
        </w:rPr>
        <w:t>2</w:t>
      </w:r>
      <w:r w:rsidR="00C83205">
        <w:rPr>
          <w:rFonts w:ascii="Calibri" w:hAnsi="Calibri"/>
        </w:rPr>
        <w:t xml:space="preserve"> during </w:t>
      </w:r>
      <w:r w:rsidR="008100CE">
        <w:rPr>
          <w:rFonts w:ascii="Calibri" w:hAnsi="Calibri"/>
        </w:rPr>
        <w:t>DTEC3</w:t>
      </w:r>
      <w:r w:rsidR="006A18E8">
        <w:rPr>
          <w:rFonts w:ascii="Calibri" w:hAnsi="Calibri"/>
        </w:rPr>
        <w:t xml:space="preserve">. </w:t>
      </w:r>
    </w:p>
    <w:p w14:paraId="272BDFF0" w14:textId="77777777" w:rsidR="003B3E6F" w:rsidRDefault="003B3E6F" w:rsidP="003B3E6F">
      <w:pPr>
        <w:pStyle w:val="BodyText"/>
        <w:rPr>
          <w:rFonts w:ascii="Calibri" w:hAnsi="Calibri"/>
        </w:rPr>
        <w:sectPr w:rsidR="003B3E6F" w:rsidSect="0082480E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A9FD49F" w14:textId="718CCABE" w:rsidR="00F25BF4" w:rsidRDefault="008100CE" w:rsidP="003B3E6F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>DTEC3</w:t>
      </w:r>
      <w:r w:rsidR="00B92E97">
        <w:rPr>
          <w:rFonts w:ascii="Calibri" w:hAnsi="Calibri"/>
        </w:rPr>
        <w:t xml:space="preserve"> WG</w:t>
      </w:r>
      <w:r>
        <w:rPr>
          <w:rFonts w:ascii="Calibri" w:hAnsi="Calibri"/>
        </w:rPr>
        <w:t>2</w:t>
      </w:r>
      <w:r w:rsidR="00B92E97">
        <w:rPr>
          <w:rFonts w:ascii="Calibri" w:hAnsi="Calibri"/>
        </w:rPr>
        <w:t xml:space="preserve"> Proposed Schedule of Activity </w:t>
      </w:r>
    </w:p>
    <w:tbl>
      <w:tblPr>
        <w:tblW w:w="1403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80"/>
        <w:gridCol w:w="1894"/>
        <w:gridCol w:w="1526"/>
        <w:gridCol w:w="2336"/>
        <w:gridCol w:w="2164"/>
        <w:gridCol w:w="2250"/>
        <w:gridCol w:w="1980"/>
      </w:tblGrid>
      <w:tr w:rsidR="0038307D" w:rsidRPr="0038307D" w14:paraId="01114042" w14:textId="77777777" w:rsidTr="00252089">
        <w:trPr>
          <w:trHeight w:val="577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604372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CEST / UTC</w:t>
            </w:r>
          </w:p>
        </w:tc>
        <w:tc>
          <w:tcPr>
            <w:tcW w:w="18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875AF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Mon 30 Sept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78B6C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CEST / UTC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CC87B2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Tues 1 Oct</w:t>
            </w:r>
          </w:p>
        </w:tc>
        <w:tc>
          <w:tcPr>
            <w:tcW w:w="216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7EB339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Wed 2 Oct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AE596B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Thurs 3 Oct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A90AD4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Fri 4 Oct</w:t>
            </w:r>
          </w:p>
        </w:tc>
      </w:tr>
      <w:tr w:rsidR="0038307D" w:rsidRPr="0038307D" w14:paraId="313391AB" w14:textId="77777777" w:rsidTr="00252089">
        <w:trPr>
          <w:trHeight w:val="584"/>
        </w:trPr>
        <w:tc>
          <w:tcPr>
            <w:tcW w:w="1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DAE445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0930-1000 CEST</w:t>
            </w:r>
          </w:p>
          <w:p w14:paraId="2173D8B3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0730-0800 UTC</w:t>
            </w:r>
          </w:p>
        </w:tc>
        <w:tc>
          <w:tcPr>
            <w:tcW w:w="18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4D21C1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 xml:space="preserve">Arrival at IALA </w:t>
            </w:r>
          </w:p>
        </w:tc>
        <w:tc>
          <w:tcPr>
            <w:tcW w:w="15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14DFB0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0900-1030</w:t>
            </w:r>
          </w:p>
          <w:p w14:paraId="11D63AD5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0700-0830</w:t>
            </w:r>
          </w:p>
        </w:tc>
        <w:tc>
          <w:tcPr>
            <w:tcW w:w="23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9BB353" w14:textId="577EB12E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Task 8.3.1 Tech</w:t>
            </w:r>
            <w:r w:rsidR="00F57961">
              <w:rPr>
                <w:rFonts w:ascii="Calibri" w:hAnsi="Calibri"/>
                <w:lang w:val="en-US"/>
              </w:rPr>
              <w:t>nology</w:t>
            </w:r>
            <w:r w:rsidRPr="0038307D">
              <w:rPr>
                <w:rFonts w:ascii="Calibri" w:hAnsi="Calibri"/>
                <w:lang w:val="en-US"/>
              </w:rPr>
              <w:t xml:space="preserve"> Review – Ship air draft</w:t>
            </w:r>
          </w:p>
        </w:tc>
        <w:tc>
          <w:tcPr>
            <w:tcW w:w="21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3B6EF7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IMT-2030 (3GPP)</w:t>
            </w:r>
          </w:p>
        </w:tc>
        <w:tc>
          <w:tcPr>
            <w:tcW w:w="2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1CBE38" w14:textId="6DF3800E" w:rsidR="0038307D" w:rsidRPr="00DA484A" w:rsidRDefault="00DA484A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hyperlink r:id="rId17" w:history="1">
              <w:r w:rsidRPr="00DA484A">
                <w:rPr>
                  <w:rFonts w:ascii="Calibri" w:hAnsi="Calibri"/>
                  <w:lang w:val="en-US"/>
                </w:rPr>
                <w:t xml:space="preserve">Task </w:t>
              </w:r>
              <w:r w:rsidRPr="00DA484A">
                <w:rPr>
                  <w:lang w:val="en-US"/>
                </w:rPr>
                <w:t>7.2.1</w:t>
              </w:r>
            </w:hyperlink>
            <w:r>
              <w:rPr>
                <w:rFonts w:ascii="Calibri" w:hAnsi="Calibri"/>
                <w:lang w:val="en-US"/>
              </w:rPr>
              <w:t xml:space="preserve"> </w:t>
            </w:r>
            <w:r w:rsidR="0038307D" w:rsidRPr="00DA484A">
              <w:rPr>
                <w:rFonts w:ascii="Calibri" w:hAnsi="Calibri"/>
                <w:lang w:val="en-US"/>
              </w:rPr>
              <w:t>Implement S-100 from AtoN Authority Perspective</w:t>
            </w:r>
          </w:p>
        </w:tc>
        <w:tc>
          <w:tcPr>
            <w:tcW w:w="19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BA1E91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Closing of physical session</w:t>
            </w:r>
          </w:p>
        </w:tc>
      </w:tr>
      <w:tr w:rsidR="0038307D" w:rsidRPr="0038307D" w14:paraId="5A071D3E" w14:textId="77777777" w:rsidTr="00252089">
        <w:trPr>
          <w:trHeight w:val="619"/>
        </w:trPr>
        <w:tc>
          <w:tcPr>
            <w:tcW w:w="188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6823AA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1000-1300 CEST</w:t>
            </w:r>
          </w:p>
          <w:p w14:paraId="102D02BC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0800-1100 UTC</w:t>
            </w:r>
          </w:p>
        </w:tc>
        <w:tc>
          <w:tcPr>
            <w:tcW w:w="189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CE8ED6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Opening plenary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4A657B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1030-1100</w:t>
            </w:r>
          </w:p>
          <w:p w14:paraId="6524134C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0830-0900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052EF0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Photograph / Break</w:t>
            </w:r>
          </w:p>
        </w:tc>
        <w:tc>
          <w:tcPr>
            <w:tcW w:w="2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E68F58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Break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15FADC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 xml:space="preserve">Break 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45A63C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Break</w:t>
            </w:r>
          </w:p>
        </w:tc>
      </w:tr>
      <w:tr w:rsidR="0038307D" w:rsidRPr="0038307D" w14:paraId="499C8301" w14:textId="77777777" w:rsidTr="00252089">
        <w:trPr>
          <w:trHeight w:val="745"/>
        </w:trPr>
        <w:tc>
          <w:tcPr>
            <w:tcW w:w="188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DF9BE5F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</w:p>
        </w:tc>
        <w:tc>
          <w:tcPr>
            <w:tcW w:w="189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1091D19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AE3912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1100-1300</w:t>
            </w:r>
          </w:p>
          <w:p w14:paraId="67D06471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0900-1100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AA3B63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Task 1.2.1 – Implement Innovation</w:t>
            </w:r>
          </w:p>
        </w:tc>
        <w:tc>
          <w:tcPr>
            <w:tcW w:w="2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B513DD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 xml:space="preserve">MARCOM  </w:t>
            </w:r>
          </w:p>
          <w:p w14:paraId="06C7E965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MASS Guideline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516E94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 xml:space="preserve">Task 7.1.2 - Digitalization of waterways 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0C0805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Closing of physical session</w:t>
            </w:r>
          </w:p>
        </w:tc>
      </w:tr>
      <w:tr w:rsidR="0038307D" w:rsidRPr="0038307D" w14:paraId="75AE61E6" w14:textId="77777777" w:rsidTr="00252089">
        <w:trPr>
          <w:trHeight w:val="376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5A9961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1300-1400 CEST</w:t>
            </w:r>
          </w:p>
          <w:p w14:paraId="72BAD3CF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1100-1200 UTC</w:t>
            </w:r>
          </w:p>
        </w:tc>
        <w:tc>
          <w:tcPr>
            <w:tcW w:w="1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5CA789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Lunch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93E5A5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1300-1400</w:t>
            </w:r>
          </w:p>
          <w:p w14:paraId="51DDD198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1100-1200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BE885D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Lunch</w:t>
            </w:r>
          </w:p>
        </w:tc>
        <w:tc>
          <w:tcPr>
            <w:tcW w:w="2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8230F3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Lunch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9CB9F6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Lunch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0B0B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96EA7B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</w:p>
        </w:tc>
      </w:tr>
      <w:tr w:rsidR="0038307D" w:rsidRPr="0038307D" w14:paraId="12BB5350" w14:textId="77777777" w:rsidTr="00252089">
        <w:trPr>
          <w:trHeight w:val="610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EEA001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1400-1530 CEST</w:t>
            </w:r>
          </w:p>
          <w:p w14:paraId="067D0C20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1200-1330 UTC</w:t>
            </w:r>
          </w:p>
        </w:tc>
        <w:tc>
          <w:tcPr>
            <w:tcW w:w="1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46DF3A" w14:textId="735F08A1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 xml:space="preserve">WG 2 Opening session 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EE5F01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1400-1530</w:t>
            </w:r>
          </w:p>
          <w:p w14:paraId="3EBF8646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1200-1330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8F0E42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 xml:space="preserve">IMT-2030 </w:t>
            </w:r>
          </w:p>
        </w:tc>
        <w:tc>
          <w:tcPr>
            <w:tcW w:w="2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22EA39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Breakout group / draft group session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8043EE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WG2 Report review, AOB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0B0B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BAD647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</w:p>
        </w:tc>
      </w:tr>
      <w:tr w:rsidR="0038307D" w:rsidRPr="0038307D" w14:paraId="5E9B6439" w14:textId="77777777" w:rsidTr="00252089">
        <w:trPr>
          <w:trHeight w:val="584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77DEA8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1530-1600 CEST</w:t>
            </w:r>
          </w:p>
          <w:p w14:paraId="0CA5AE86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1330-1400 UTC</w:t>
            </w:r>
          </w:p>
        </w:tc>
        <w:tc>
          <w:tcPr>
            <w:tcW w:w="1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24F5D7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>Break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F8048E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1530-1600</w:t>
            </w:r>
          </w:p>
          <w:p w14:paraId="3CD3B86B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1330-1400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56ABE0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Break</w:t>
            </w:r>
          </w:p>
        </w:tc>
        <w:tc>
          <w:tcPr>
            <w:tcW w:w="2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0C8366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 xml:space="preserve">Break 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199D6C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Break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0B0B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B90902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</w:p>
        </w:tc>
      </w:tr>
      <w:tr w:rsidR="0038307D" w:rsidRPr="00DA484A" w14:paraId="36A4C5EC" w14:textId="77777777" w:rsidTr="00252089">
        <w:trPr>
          <w:trHeight w:val="880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60B806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1600-1730 CEST</w:t>
            </w:r>
          </w:p>
          <w:p w14:paraId="3B808570" w14:textId="77777777" w:rsidR="0038307D" w:rsidRPr="0038307D" w:rsidRDefault="0038307D" w:rsidP="0038307D">
            <w:pPr>
              <w:pStyle w:val="BodyTex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1400-1530 UTC</w:t>
            </w:r>
          </w:p>
        </w:tc>
        <w:tc>
          <w:tcPr>
            <w:tcW w:w="1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8BE990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 xml:space="preserve">Task 7.1.2-Digitalization of waterways 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C04EB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1600-1730</w:t>
            </w:r>
          </w:p>
          <w:p w14:paraId="4CA56969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lang w:val="en-US"/>
              </w:rPr>
              <w:t>1400-1530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C9CA46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 xml:space="preserve">Task 7.1.1 – Digitalization in scope of IALA </w:t>
            </w:r>
          </w:p>
        </w:tc>
        <w:tc>
          <w:tcPr>
            <w:tcW w:w="2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618CD6" w14:textId="7256298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lang w:val="en-US"/>
              </w:rPr>
              <w:t xml:space="preserve">Task 8.3.1 </w:t>
            </w:r>
            <w:r w:rsidR="00F57961">
              <w:rPr>
                <w:rFonts w:ascii="Calibri" w:hAnsi="Calibri"/>
                <w:lang w:val="en-US"/>
              </w:rPr>
              <w:t>-</w:t>
            </w:r>
            <w:r w:rsidRPr="0038307D">
              <w:rPr>
                <w:rFonts w:ascii="Calibri" w:hAnsi="Calibri"/>
                <w:lang w:val="en-US"/>
              </w:rPr>
              <w:t xml:space="preserve"> Tech</w:t>
            </w:r>
            <w:r w:rsidR="00F57961">
              <w:rPr>
                <w:rFonts w:ascii="Calibri" w:hAnsi="Calibri"/>
                <w:lang w:val="en-US"/>
              </w:rPr>
              <w:t>nology</w:t>
            </w:r>
            <w:r w:rsidRPr="0038307D">
              <w:rPr>
                <w:rFonts w:ascii="Calibri" w:hAnsi="Calibri"/>
                <w:lang w:val="en-US"/>
              </w:rPr>
              <w:t xml:space="preserve"> Review – presentations 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ECF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4CA6E" w14:textId="4A13DB77" w:rsidR="0038307D" w:rsidRPr="00DA484A" w:rsidRDefault="0038307D" w:rsidP="00252089">
            <w:pPr>
              <w:pStyle w:val="BodyText"/>
              <w:jc w:val="left"/>
              <w:rPr>
                <w:rFonts w:ascii="Calibri" w:hAnsi="Calibri"/>
                <w:lang w:val="fr-FR"/>
              </w:rPr>
            </w:pPr>
            <w:proofErr w:type="spellStart"/>
            <w:r w:rsidRPr="00DA484A">
              <w:rPr>
                <w:rFonts w:ascii="Calibri" w:hAnsi="Calibri"/>
                <w:lang w:val="fr-FR"/>
              </w:rPr>
              <w:t>Breakout</w:t>
            </w:r>
            <w:proofErr w:type="spellEnd"/>
            <w:r w:rsidRPr="00DA484A">
              <w:rPr>
                <w:rFonts w:ascii="Calibri" w:hAnsi="Calibri"/>
                <w:lang w:val="fr-FR"/>
              </w:rPr>
              <w:t xml:space="preserve"> </w:t>
            </w:r>
            <w:proofErr w:type="gramStart"/>
            <w:r w:rsidRPr="00DA484A">
              <w:rPr>
                <w:rFonts w:ascii="Calibri" w:hAnsi="Calibri"/>
                <w:lang w:val="fr-FR"/>
              </w:rPr>
              <w:t>groups;</w:t>
            </w:r>
            <w:proofErr w:type="gramEnd"/>
            <w:r w:rsidRPr="00DA484A">
              <w:rPr>
                <w:rFonts w:ascii="Calibri" w:hAnsi="Calibri"/>
                <w:lang w:val="fr-FR"/>
              </w:rPr>
              <w:t xml:space="preserve"> finalise output / liaison notes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0B0B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B6B75B" w14:textId="77777777" w:rsidR="0038307D" w:rsidRPr="00DA484A" w:rsidRDefault="0038307D" w:rsidP="00252089">
            <w:pPr>
              <w:pStyle w:val="BodyText"/>
              <w:jc w:val="left"/>
              <w:rPr>
                <w:rFonts w:ascii="Calibri" w:hAnsi="Calibri"/>
                <w:lang w:val="fr-FR"/>
              </w:rPr>
            </w:pPr>
          </w:p>
        </w:tc>
      </w:tr>
      <w:tr w:rsidR="0038307D" w:rsidRPr="0038307D" w14:paraId="25C27057" w14:textId="77777777" w:rsidTr="00252089">
        <w:trPr>
          <w:trHeight w:val="511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49BA7D" w14:textId="77777777" w:rsidR="0038307D" w:rsidRPr="00DA484A" w:rsidRDefault="0038307D" w:rsidP="0038307D">
            <w:pPr>
              <w:pStyle w:val="BodyText"/>
              <w:rPr>
                <w:rFonts w:ascii="Calibri" w:hAnsi="Calibri"/>
                <w:lang w:val="fr-FR"/>
              </w:rPr>
            </w:pPr>
          </w:p>
        </w:tc>
        <w:tc>
          <w:tcPr>
            <w:tcW w:w="18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843064" w14:textId="77777777" w:rsidR="0038307D" w:rsidRPr="00DA484A" w:rsidRDefault="0038307D" w:rsidP="00252089">
            <w:pPr>
              <w:pStyle w:val="BodyText"/>
              <w:jc w:val="left"/>
              <w:rPr>
                <w:rFonts w:ascii="Calibri" w:hAnsi="Calibri"/>
                <w:lang w:val="fr-FR"/>
              </w:rPr>
            </w:pP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FCB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414425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b/>
                <w:bCs/>
                <w:i/>
                <w:iCs/>
                <w:lang w:val="en-US"/>
              </w:rPr>
              <w:t>1730-1930</w:t>
            </w:r>
          </w:p>
        </w:tc>
        <w:tc>
          <w:tcPr>
            <w:tcW w:w="2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E014CA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  <w:r w:rsidRPr="0038307D">
              <w:rPr>
                <w:rFonts w:ascii="Calibri" w:hAnsi="Calibri"/>
                <w:i/>
                <w:iCs/>
                <w:lang w:val="en-US"/>
              </w:rPr>
              <w:t>Bring your own reception</w:t>
            </w:r>
          </w:p>
        </w:tc>
        <w:tc>
          <w:tcPr>
            <w:tcW w:w="2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8A3896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6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A9BCF7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0B0B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C32DD7" w14:textId="77777777" w:rsidR="0038307D" w:rsidRPr="0038307D" w:rsidRDefault="0038307D" w:rsidP="00252089">
            <w:pPr>
              <w:pStyle w:val="BodyText"/>
              <w:jc w:val="left"/>
              <w:rPr>
                <w:rFonts w:ascii="Calibri" w:hAnsi="Calibri"/>
                <w:lang w:val="en-US"/>
              </w:rPr>
            </w:pPr>
          </w:p>
        </w:tc>
      </w:tr>
    </w:tbl>
    <w:p w14:paraId="737A5E47" w14:textId="77777777" w:rsidR="00B92E97" w:rsidRPr="007A395D" w:rsidRDefault="00B92E97" w:rsidP="003B3E6F">
      <w:pPr>
        <w:pStyle w:val="BodyText"/>
        <w:rPr>
          <w:rFonts w:ascii="Calibri" w:hAnsi="Calibri"/>
        </w:rPr>
      </w:pPr>
    </w:p>
    <w:sectPr w:rsidR="00B92E97" w:rsidRPr="007A395D" w:rsidSect="003B3E6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5B944" w14:textId="77777777" w:rsidR="00745242" w:rsidRDefault="00745242" w:rsidP="00362CD9">
      <w:r>
        <w:separator/>
      </w:r>
    </w:p>
  </w:endnote>
  <w:endnote w:type="continuationSeparator" w:id="0">
    <w:p w14:paraId="61359FED" w14:textId="77777777" w:rsidR="00745242" w:rsidRDefault="00745242" w:rsidP="00362CD9">
      <w:r>
        <w:continuationSeparator/>
      </w:r>
    </w:p>
  </w:endnote>
  <w:endnote w:type="continuationNotice" w:id="1">
    <w:p w14:paraId="3937AD5F" w14:textId="77777777" w:rsidR="00745242" w:rsidRDefault="00745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Microsoft Sans Serif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0F70F" w14:textId="77777777" w:rsidR="00745242" w:rsidRDefault="00745242" w:rsidP="00362CD9">
      <w:r>
        <w:separator/>
      </w:r>
    </w:p>
  </w:footnote>
  <w:footnote w:type="continuationSeparator" w:id="0">
    <w:p w14:paraId="5A04D5AE" w14:textId="77777777" w:rsidR="00745242" w:rsidRDefault="00745242" w:rsidP="00362CD9">
      <w:r>
        <w:continuationSeparator/>
      </w:r>
    </w:p>
  </w:footnote>
  <w:footnote w:type="continuationNotice" w:id="1">
    <w:p w14:paraId="6A479090" w14:textId="77777777" w:rsidR="00745242" w:rsidRDefault="0074524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3F824E7C" w:rsidR="00624475" w:rsidRDefault="00FC7F6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C7F6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FC7F6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3F72356B"/>
    <w:multiLevelType w:val="hybridMultilevel"/>
    <w:tmpl w:val="05FE2388"/>
    <w:lvl w:ilvl="0" w:tplc="08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E6C4C"/>
    <w:multiLevelType w:val="hybridMultilevel"/>
    <w:tmpl w:val="D124D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554E7"/>
    <w:multiLevelType w:val="hybridMultilevel"/>
    <w:tmpl w:val="6F7ED8FE"/>
    <w:lvl w:ilvl="0" w:tplc="5A2A8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4"/>
  </w:num>
  <w:num w:numId="5" w16cid:durableId="561792413">
    <w:abstractNumId w:val="17"/>
  </w:num>
  <w:num w:numId="6" w16cid:durableId="732193860">
    <w:abstractNumId w:val="4"/>
  </w:num>
  <w:num w:numId="7" w16cid:durableId="1589921380">
    <w:abstractNumId w:val="26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20"/>
  </w:num>
  <w:num w:numId="11" w16cid:durableId="1538543149">
    <w:abstractNumId w:val="19"/>
  </w:num>
  <w:num w:numId="12" w16cid:durableId="1219785225">
    <w:abstractNumId w:val="16"/>
  </w:num>
  <w:num w:numId="13" w16cid:durableId="34818179">
    <w:abstractNumId w:val="25"/>
  </w:num>
  <w:num w:numId="14" w16cid:durableId="2060668843">
    <w:abstractNumId w:val="5"/>
  </w:num>
  <w:num w:numId="15" w16cid:durableId="1387685509">
    <w:abstractNumId w:val="27"/>
  </w:num>
  <w:num w:numId="16" w16cid:durableId="1578244919">
    <w:abstractNumId w:val="15"/>
  </w:num>
  <w:num w:numId="17" w16cid:durableId="1451389082">
    <w:abstractNumId w:val="6"/>
  </w:num>
  <w:num w:numId="18" w16cid:durableId="646936776">
    <w:abstractNumId w:val="22"/>
  </w:num>
  <w:num w:numId="19" w16cid:durableId="1439712991">
    <w:abstractNumId w:val="15"/>
  </w:num>
  <w:num w:numId="20" w16cid:durableId="841822363">
    <w:abstractNumId w:val="15"/>
  </w:num>
  <w:num w:numId="21" w16cid:durableId="1603949306">
    <w:abstractNumId w:val="15"/>
  </w:num>
  <w:num w:numId="22" w16cid:durableId="34040181">
    <w:abstractNumId w:val="15"/>
  </w:num>
  <w:num w:numId="23" w16cid:durableId="966854312">
    <w:abstractNumId w:val="23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21"/>
  </w:num>
  <w:num w:numId="34" w16cid:durableId="1037776188">
    <w:abstractNumId w:val="21"/>
  </w:num>
  <w:num w:numId="35" w16cid:durableId="1356810456">
    <w:abstractNumId w:val="21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6"/>
  </w:num>
  <w:num w:numId="39" w16cid:durableId="10947869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3"/>
  </w:num>
  <w:num w:numId="45" w16cid:durableId="131144698">
    <w:abstractNumId w:val="18"/>
  </w:num>
  <w:num w:numId="46" w16cid:durableId="983050370">
    <w:abstractNumId w:val="12"/>
  </w:num>
  <w:num w:numId="47" w16cid:durableId="196819292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66D0D"/>
    <w:rsid w:val="00070C13"/>
    <w:rsid w:val="000715C9"/>
    <w:rsid w:val="00080A77"/>
    <w:rsid w:val="00084F33"/>
    <w:rsid w:val="000A2309"/>
    <w:rsid w:val="000A77A7"/>
    <w:rsid w:val="000B1707"/>
    <w:rsid w:val="000B7F19"/>
    <w:rsid w:val="000C1B3E"/>
    <w:rsid w:val="000C349E"/>
    <w:rsid w:val="000F2584"/>
    <w:rsid w:val="000F72BA"/>
    <w:rsid w:val="00110AE7"/>
    <w:rsid w:val="00110C3F"/>
    <w:rsid w:val="00146E5F"/>
    <w:rsid w:val="00176BFD"/>
    <w:rsid w:val="00177F4D"/>
    <w:rsid w:val="00180DDA"/>
    <w:rsid w:val="00181761"/>
    <w:rsid w:val="001B2A2D"/>
    <w:rsid w:val="001B3F02"/>
    <w:rsid w:val="001B737D"/>
    <w:rsid w:val="001C327C"/>
    <w:rsid w:val="001C44A3"/>
    <w:rsid w:val="001E0E15"/>
    <w:rsid w:val="001F528A"/>
    <w:rsid w:val="001F704E"/>
    <w:rsid w:val="00200241"/>
    <w:rsid w:val="00201722"/>
    <w:rsid w:val="002125B0"/>
    <w:rsid w:val="00215BC5"/>
    <w:rsid w:val="0022314E"/>
    <w:rsid w:val="00243228"/>
    <w:rsid w:val="00247C5E"/>
    <w:rsid w:val="00251483"/>
    <w:rsid w:val="00252089"/>
    <w:rsid w:val="002532B3"/>
    <w:rsid w:val="00255CAA"/>
    <w:rsid w:val="00264305"/>
    <w:rsid w:val="00264495"/>
    <w:rsid w:val="002664DA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10C41"/>
    <w:rsid w:val="00335014"/>
    <w:rsid w:val="00356CD0"/>
    <w:rsid w:val="00362CD9"/>
    <w:rsid w:val="003761CA"/>
    <w:rsid w:val="00380DAF"/>
    <w:rsid w:val="0038307D"/>
    <w:rsid w:val="003972CE"/>
    <w:rsid w:val="003A43C6"/>
    <w:rsid w:val="003B28F5"/>
    <w:rsid w:val="003B3E6F"/>
    <w:rsid w:val="003B7B7D"/>
    <w:rsid w:val="003C54CB"/>
    <w:rsid w:val="003C6012"/>
    <w:rsid w:val="003C7A2A"/>
    <w:rsid w:val="003D2DC1"/>
    <w:rsid w:val="003D69D0"/>
    <w:rsid w:val="003F2918"/>
    <w:rsid w:val="003F430E"/>
    <w:rsid w:val="004065C3"/>
    <w:rsid w:val="0041088C"/>
    <w:rsid w:val="00412DD0"/>
    <w:rsid w:val="0041482C"/>
    <w:rsid w:val="00420A38"/>
    <w:rsid w:val="00431B19"/>
    <w:rsid w:val="00432203"/>
    <w:rsid w:val="004343FA"/>
    <w:rsid w:val="00451562"/>
    <w:rsid w:val="004661AD"/>
    <w:rsid w:val="00466EAB"/>
    <w:rsid w:val="004A6C1D"/>
    <w:rsid w:val="004D1D85"/>
    <w:rsid w:val="004D3C3A"/>
    <w:rsid w:val="004E1CD1"/>
    <w:rsid w:val="004E4239"/>
    <w:rsid w:val="004F7EFC"/>
    <w:rsid w:val="00501C34"/>
    <w:rsid w:val="005107EB"/>
    <w:rsid w:val="00521345"/>
    <w:rsid w:val="00526DF0"/>
    <w:rsid w:val="00545CC4"/>
    <w:rsid w:val="00551FFF"/>
    <w:rsid w:val="005607A2"/>
    <w:rsid w:val="0057198B"/>
    <w:rsid w:val="00573CFE"/>
    <w:rsid w:val="00575494"/>
    <w:rsid w:val="00590E05"/>
    <w:rsid w:val="005969F2"/>
    <w:rsid w:val="00597FAE"/>
    <w:rsid w:val="005B32A3"/>
    <w:rsid w:val="005C0D44"/>
    <w:rsid w:val="005C566C"/>
    <w:rsid w:val="005C7E69"/>
    <w:rsid w:val="005E262D"/>
    <w:rsid w:val="005E606D"/>
    <w:rsid w:val="005F23D3"/>
    <w:rsid w:val="005F5700"/>
    <w:rsid w:val="005F7E20"/>
    <w:rsid w:val="00605E43"/>
    <w:rsid w:val="006153BB"/>
    <w:rsid w:val="00624475"/>
    <w:rsid w:val="006652C3"/>
    <w:rsid w:val="00691FD0"/>
    <w:rsid w:val="00692148"/>
    <w:rsid w:val="006A18E8"/>
    <w:rsid w:val="006A1A1E"/>
    <w:rsid w:val="006C1B3B"/>
    <w:rsid w:val="006C5948"/>
    <w:rsid w:val="006C6681"/>
    <w:rsid w:val="006F1572"/>
    <w:rsid w:val="006F2A74"/>
    <w:rsid w:val="006F3FA2"/>
    <w:rsid w:val="007000D4"/>
    <w:rsid w:val="007118F5"/>
    <w:rsid w:val="00712AA4"/>
    <w:rsid w:val="007146C4"/>
    <w:rsid w:val="00721AA1"/>
    <w:rsid w:val="00724B67"/>
    <w:rsid w:val="00732060"/>
    <w:rsid w:val="00745242"/>
    <w:rsid w:val="007547F8"/>
    <w:rsid w:val="00765622"/>
    <w:rsid w:val="00770B6C"/>
    <w:rsid w:val="00783FEA"/>
    <w:rsid w:val="00786E5B"/>
    <w:rsid w:val="00787CD6"/>
    <w:rsid w:val="007A395D"/>
    <w:rsid w:val="007B6BD5"/>
    <w:rsid w:val="007C346C"/>
    <w:rsid w:val="007D121A"/>
    <w:rsid w:val="007E6479"/>
    <w:rsid w:val="0080294B"/>
    <w:rsid w:val="008100CE"/>
    <w:rsid w:val="0082480E"/>
    <w:rsid w:val="0084666A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E6F56"/>
    <w:rsid w:val="008F07BC"/>
    <w:rsid w:val="008F526B"/>
    <w:rsid w:val="0092692B"/>
    <w:rsid w:val="00930561"/>
    <w:rsid w:val="00943E9C"/>
    <w:rsid w:val="00953F4D"/>
    <w:rsid w:val="00960BB8"/>
    <w:rsid w:val="00964F5C"/>
    <w:rsid w:val="009709DA"/>
    <w:rsid w:val="0097352F"/>
    <w:rsid w:val="00973B57"/>
    <w:rsid w:val="00975900"/>
    <w:rsid w:val="009770D1"/>
    <w:rsid w:val="009831C0"/>
    <w:rsid w:val="00987720"/>
    <w:rsid w:val="0099161D"/>
    <w:rsid w:val="009964C9"/>
    <w:rsid w:val="00996C7E"/>
    <w:rsid w:val="009F37B5"/>
    <w:rsid w:val="00A0389B"/>
    <w:rsid w:val="00A33A3C"/>
    <w:rsid w:val="00A446C9"/>
    <w:rsid w:val="00A46D38"/>
    <w:rsid w:val="00A635D6"/>
    <w:rsid w:val="00A8553A"/>
    <w:rsid w:val="00A93AED"/>
    <w:rsid w:val="00AE1319"/>
    <w:rsid w:val="00AE25A4"/>
    <w:rsid w:val="00AE34BB"/>
    <w:rsid w:val="00AE7950"/>
    <w:rsid w:val="00AF46D3"/>
    <w:rsid w:val="00B226F2"/>
    <w:rsid w:val="00B274DF"/>
    <w:rsid w:val="00B56BDF"/>
    <w:rsid w:val="00B65812"/>
    <w:rsid w:val="00B85CD6"/>
    <w:rsid w:val="00B90A27"/>
    <w:rsid w:val="00B92E97"/>
    <w:rsid w:val="00B9554D"/>
    <w:rsid w:val="00BB2B9F"/>
    <w:rsid w:val="00BB3ED3"/>
    <w:rsid w:val="00BB7D9E"/>
    <w:rsid w:val="00BC2334"/>
    <w:rsid w:val="00BD3CB8"/>
    <w:rsid w:val="00BD4E6F"/>
    <w:rsid w:val="00BF32F0"/>
    <w:rsid w:val="00BF4DCE"/>
    <w:rsid w:val="00BF7953"/>
    <w:rsid w:val="00C05CE5"/>
    <w:rsid w:val="00C6171E"/>
    <w:rsid w:val="00C76ED4"/>
    <w:rsid w:val="00C83205"/>
    <w:rsid w:val="00C9669A"/>
    <w:rsid w:val="00CA6F2C"/>
    <w:rsid w:val="00CD6A13"/>
    <w:rsid w:val="00CF1871"/>
    <w:rsid w:val="00CF7ACA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0CBF"/>
    <w:rsid w:val="00DA19C1"/>
    <w:rsid w:val="00DA4516"/>
    <w:rsid w:val="00DA484A"/>
    <w:rsid w:val="00DC389B"/>
    <w:rsid w:val="00DC67F7"/>
    <w:rsid w:val="00DD4355"/>
    <w:rsid w:val="00DE2FEE"/>
    <w:rsid w:val="00DF1467"/>
    <w:rsid w:val="00DF56A1"/>
    <w:rsid w:val="00E00BE9"/>
    <w:rsid w:val="00E04F09"/>
    <w:rsid w:val="00E11B85"/>
    <w:rsid w:val="00E22A11"/>
    <w:rsid w:val="00E31E5C"/>
    <w:rsid w:val="00E44DD2"/>
    <w:rsid w:val="00E558C3"/>
    <w:rsid w:val="00E55927"/>
    <w:rsid w:val="00E60540"/>
    <w:rsid w:val="00E8339E"/>
    <w:rsid w:val="00E912A6"/>
    <w:rsid w:val="00EA0EF9"/>
    <w:rsid w:val="00EA4844"/>
    <w:rsid w:val="00EA4D9C"/>
    <w:rsid w:val="00EA5A97"/>
    <w:rsid w:val="00EB2248"/>
    <w:rsid w:val="00EB75EE"/>
    <w:rsid w:val="00EC0046"/>
    <w:rsid w:val="00EE3CC5"/>
    <w:rsid w:val="00EE4C1D"/>
    <w:rsid w:val="00EE74B8"/>
    <w:rsid w:val="00EF3685"/>
    <w:rsid w:val="00F04350"/>
    <w:rsid w:val="00F133DB"/>
    <w:rsid w:val="00F159EB"/>
    <w:rsid w:val="00F25BF4"/>
    <w:rsid w:val="00F267DB"/>
    <w:rsid w:val="00F46F6F"/>
    <w:rsid w:val="00F57961"/>
    <w:rsid w:val="00F60608"/>
    <w:rsid w:val="00F62217"/>
    <w:rsid w:val="00F77439"/>
    <w:rsid w:val="00FB17A9"/>
    <w:rsid w:val="00FB527C"/>
    <w:rsid w:val="00FB6F75"/>
    <w:rsid w:val="00FC0EB3"/>
    <w:rsid w:val="00FC7F6D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A484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C66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3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5204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1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2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012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10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91355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2644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49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4282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2826">
          <w:marLeft w:val="0"/>
          <w:marRight w:val="0"/>
          <w:marTop w:val="3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2970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60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37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856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6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0197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617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22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1539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3583">
          <w:marLeft w:val="0"/>
          <w:marRight w:val="0"/>
          <w:marTop w:val="3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3487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89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1326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002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1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4632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649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869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931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016">
          <w:marLeft w:val="0"/>
          <w:marRight w:val="0"/>
          <w:marTop w:val="3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06468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9656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54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2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296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393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312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169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7805">
          <w:marLeft w:val="0"/>
          <w:marRight w:val="0"/>
          <w:marTop w:val="3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+33170995370,,17692168" TargetMode="External"/><Relationship Id="rId17" Type="http://schemas.openxmlformats.org/officeDocument/2006/relationships/hyperlink" Target="https://iala-task-register.com/task?id=427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ZjFmZmE1NWQtNmVkMy00MTFhLWI5MGMtMGZhNGZlM2Y3MzU2%40thread.v2/0?context=%7b%22Tid%22%3a%22529f3cf4-fdfb-44c2-8d17-aec7c3e258e2%22%2c%22Oid%22%3a%229cdd6dbb-d388-42c1-9836-93fbbc7060f7%22%7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997B6626-D1D6-4810-938E-E11CA5BE26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5</cp:revision>
  <dcterms:created xsi:type="dcterms:W3CDTF">2024-09-16T10:17:00Z</dcterms:created>
  <dcterms:modified xsi:type="dcterms:W3CDTF">2024-09-16T10:21:00Z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